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1000" w:right="1000"/>
        <w:rPr>
          <w:sz w:val="2"/>
        </w:rPr>
      </w:pPr>
      <w:r>
        <w:rPr>
          <w:noProof/>
        </w:rPr>
        <w:drawing>
          <wp:inline distT="0" distB="0" distL="0" distR="0">
            <wp:extent cx="4838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38700" cy="971550"/>
                    </a:xfrm>
                    <a:prstGeom prst="rect">
                      <a:avLst/>
                    </a:prstGeom>
                    <a:noFill/>
                    <a:ln>
                      <a:noFill/>
                    </a:ln>
                  </pic:spPr>
                </pic:pic>
              </a:graphicData>
            </a:graphic>
          </wp:inline>
        </w:drawing>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pPr>
        <w:spacing w:line="240" w:lineRule="exact"/>
      </w:pPr>
      <w:r>
        <w:t xml:space="preserve"> </w:t>
      </w:r>
    </w:p>
    <w:p>
      <w:pPr>
        <w:spacing w:after="120" w:line="240" w:lineRule="exact"/>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180" w:line="240" w:lineRule="exact"/>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préventive et curative des cuves à azote liquide à remplissage automatique et du système de distribution automatique d’azote liquide pour le CHU de Besançon</w:t>
            </w:r>
          </w:p>
        </w:tc>
      </w:tr>
    </w:tbl>
    <w:p>
      <w:pPr>
        <w:spacing w:line="240" w:lineRule="exact"/>
      </w:pPr>
      <w:r>
        <w:t xml:space="preserve"> </w:t>
      </w:r>
    </w:p>
    <w:p>
      <w:pPr>
        <w:spacing w:after="180" w:line="240" w:lineRule="exact"/>
      </w:pP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12 septembre 2025 à </w:t>
      </w:r>
      <w:proofErr w:type="gramStart"/>
      <w:r>
        <w:rPr>
          <w:rFonts w:ascii="Trebuchet MS" w:eastAsia="Trebuchet MS" w:hAnsi="Trebuchet MS" w:cs="Trebuchet MS"/>
          <w:color w:val="000000"/>
          <w:lang w:val="fr-FR"/>
        </w:rPr>
        <w:t>16:</w:t>
      </w:r>
      <w:proofErr w:type="gramEnd"/>
      <w:r>
        <w:rPr>
          <w:rFonts w:ascii="Trebuchet MS" w:eastAsia="Trebuchet MS" w:hAnsi="Trebuchet MS" w:cs="Trebuchet MS"/>
          <w:color w:val="000000"/>
          <w:lang w:val="fr-FR"/>
        </w:rPr>
        <w:t>00</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DE LA PROCÉDURE</w:t>
            </w:r>
          </w:p>
        </w:tc>
      </w:tr>
      <w:tr>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pPr>
          </w:p>
          <w:p>
            <w:pPr>
              <w:ind w:left="420"/>
              <w:rPr>
                <w:sz w:val="2"/>
              </w:rPr>
            </w:pPr>
            <w:r>
              <w:rPr>
                <w:noProof/>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80" w:after="16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préventive et curative des cuves à azote liquide à remplissage automatique et du système de distribution automatique d’azote liquide pour le CHU de Besançon</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28600" cy="2286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Renouvellement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pPr>
        <w:pStyle w:val="ParagrapheIndent2"/>
        <w:spacing w:line="232" w:lineRule="exact"/>
        <w:jc w:val="both"/>
        <w:rPr>
          <w:color w:val="000000"/>
          <w:lang w:val="fr-FR"/>
        </w:rPr>
      </w:pPr>
      <w:r>
        <w:rPr>
          <w:color w:val="000000"/>
          <w:lang w:val="fr-FR"/>
        </w:rPr>
        <w:t>La présente consultation concerne :</w:t>
      </w:r>
    </w:p>
    <w:p>
      <w:pPr>
        <w:pStyle w:val="ParagrapheIndent2"/>
        <w:spacing w:line="232" w:lineRule="exact"/>
        <w:jc w:val="both"/>
        <w:rPr>
          <w:color w:val="000000"/>
          <w:lang w:val="fr-FR"/>
        </w:rPr>
      </w:pPr>
      <w:r>
        <w:rPr>
          <w:color w:val="000000"/>
          <w:lang w:val="fr-FR"/>
        </w:rPr>
        <w:t>Maintenance préventive et curative des cuves à azote liquide à remplissage automatique et du système de distribution automatique d’azote liquide pour le CHU de Besançon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présente consultation pour objet la maintenance d'équipements dont dispose le CHU de Besançon, ainsi que la fourniture de pièces détachées nécessaires à la maintenance. Cette consultation se divise en deux lots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 Lot 1 : contrat pour la maintenance préventive et curative des cuves à azote liquide à remplissage automatique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 Lot 2 : contrat pour la maintenance préventive et curative de l’automate de système de supervision et de distribution de l’azote Phenix, marque </w:t>
      </w:r>
      <w:proofErr w:type="spellStart"/>
      <w:r>
        <w:rPr>
          <w:color w:val="000000"/>
          <w:lang w:val="fr-FR"/>
        </w:rPr>
        <w:t>Sintesy</w:t>
      </w:r>
      <w:proofErr w:type="spellEnd"/>
    </w:p>
    <w:p>
      <w:pPr>
        <w:pStyle w:val="ParagrapheIndent2"/>
        <w:spacing w:after="240" w:line="232" w:lineRule="exact"/>
        <w:jc w:val="both"/>
        <w:rPr>
          <w:color w:val="000000"/>
          <w:lang w:val="fr-FR"/>
        </w:rPr>
      </w:pPr>
    </w:p>
    <w:p>
      <w:pPr>
        <w:pStyle w:val="ParagrapheIndent2"/>
        <w:spacing w:line="232" w:lineRule="exact"/>
        <w:jc w:val="both"/>
        <w:rPr>
          <w:color w:val="000000"/>
          <w:lang w:val="fr-FR"/>
        </w:rPr>
      </w:pPr>
      <w:r>
        <w:rPr>
          <w:color w:val="000000"/>
          <w:lang w:val="fr-FR"/>
        </w:rPr>
        <w:t>Lieu(x) d'exécution :</w:t>
      </w:r>
    </w:p>
    <w:p>
      <w:pPr>
        <w:pStyle w:val="ParagrapheIndent2"/>
        <w:spacing w:line="232" w:lineRule="exact"/>
        <w:jc w:val="both"/>
        <w:rPr>
          <w:color w:val="000000"/>
          <w:lang w:val="fr-FR"/>
        </w:rPr>
      </w:pPr>
      <w:r>
        <w:rPr>
          <w:color w:val="000000"/>
          <w:lang w:val="fr-FR"/>
        </w:rPr>
        <w:t>CHU Jean Minjoz, 3 boulevard Alexandre Fleming</w:t>
      </w:r>
    </w:p>
    <w:p>
      <w:pPr>
        <w:pStyle w:val="ParagrapheIndent2"/>
        <w:spacing w:after="240" w:line="232" w:lineRule="exact"/>
        <w:jc w:val="both"/>
        <w:rPr>
          <w:color w:val="000000"/>
          <w:lang w:val="fr-FR"/>
        </w:rPr>
      </w:pPr>
      <w:r>
        <w:rPr>
          <w:color w:val="000000"/>
          <w:lang w:val="fr-FR"/>
        </w:rPr>
        <w:t>25000 Besançon</w:t>
      </w:r>
    </w:p>
    <w:p>
      <w:pPr>
        <w:pStyle w:val="Titre2"/>
        <w:ind w:left="280"/>
        <w:jc w:val="both"/>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pPr>
        <w:pStyle w:val="Titre2"/>
        <w:ind w:left="280"/>
        <w:jc w:val="both"/>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pPr>
        <w:pStyle w:val="ParagrapheIndent2"/>
        <w:spacing w:after="240"/>
        <w:jc w:val="both"/>
        <w:rPr>
          <w:color w:val="000000"/>
          <w:lang w:val="fr-FR"/>
        </w:rPr>
      </w:pPr>
      <w:r>
        <w:rPr>
          <w:color w:val="000000"/>
          <w:lang w:val="fr-FR"/>
        </w:rPr>
        <w:t>Il s'agit d'un accord-cadre à bons de commandes.</w:t>
      </w:r>
    </w:p>
    <w:p>
      <w:pPr>
        <w:pStyle w:val="Titre2"/>
        <w:ind w:left="280"/>
        <w:jc w:val="both"/>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pPr>
        <w:pStyle w:val="ParagrapheIndent2"/>
        <w:spacing w:line="232" w:lineRule="exact"/>
        <w:jc w:val="both"/>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contrat</w:t>
            </w:r>
            <w:proofErr w:type="gramEnd"/>
            <w:r>
              <w:rPr>
                <w:rFonts w:ascii="Trebuchet MS" w:eastAsia="Trebuchet MS" w:hAnsi="Trebuchet MS" w:cs="Trebuchet MS"/>
                <w:color w:val="000000"/>
                <w:sz w:val="20"/>
                <w:lang w:val="fr-FR"/>
              </w:rPr>
              <w:t xml:space="preserve"> pour la maintenance préventive et curative des cuves à azote liquide à remplissage automatique </w:t>
            </w:r>
          </w:p>
        </w:tc>
      </w:tr>
      <w:tr>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contrat</w:t>
            </w:r>
            <w:proofErr w:type="gramEnd"/>
            <w:r>
              <w:rPr>
                <w:rFonts w:ascii="Trebuchet MS" w:eastAsia="Trebuchet MS" w:hAnsi="Trebuchet MS" w:cs="Trebuchet MS"/>
                <w:color w:val="000000"/>
                <w:sz w:val="20"/>
                <w:lang w:val="fr-FR"/>
              </w:rPr>
              <w:t xml:space="preserve"> pour la maintenance préventive et curative de l’automate de système de supervision et de distribution de l’azote Phenix, marque </w:t>
            </w:r>
            <w:proofErr w:type="spellStart"/>
            <w:r>
              <w:rPr>
                <w:rFonts w:ascii="Trebuchet MS" w:eastAsia="Trebuchet MS" w:hAnsi="Trebuchet MS" w:cs="Trebuchet MS"/>
                <w:color w:val="000000"/>
                <w:sz w:val="20"/>
                <w:lang w:val="fr-FR"/>
              </w:rPr>
              <w:t>Sintesy</w:t>
            </w:r>
            <w:proofErr w:type="spellEnd"/>
          </w:p>
        </w:tc>
      </w:tr>
    </w:tbl>
    <w:p>
      <w:pPr>
        <w:spacing w:after="20" w:line="240" w:lineRule="exact"/>
      </w:pPr>
      <w:r>
        <w:t xml:space="preserve"> </w:t>
      </w:r>
    </w:p>
    <w:p>
      <w:pPr>
        <w:pStyle w:val="ParagrapheIndent2"/>
        <w:spacing w:after="240"/>
        <w:jc w:val="both"/>
        <w:rPr>
          <w:color w:val="000000"/>
          <w:lang w:val="fr-FR"/>
        </w:rPr>
      </w:pPr>
      <w:r>
        <w:rPr>
          <w:color w:val="000000"/>
          <w:lang w:val="fr-FR"/>
        </w:rPr>
        <w:t>Chaque lot fera l'objet d'un marché.</w:t>
      </w:r>
    </w:p>
    <w:p>
      <w:pPr>
        <w:pStyle w:val="ParagrapheIndent2"/>
        <w:spacing w:after="240"/>
        <w:jc w:val="both"/>
        <w:rPr>
          <w:color w:val="000000"/>
          <w:lang w:val="fr-FR"/>
        </w:rPr>
      </w:pPr>
      <w:r>
        <w:rPr>
          <w:color w:val="000000"/>
          <w:lang w:val="fr-FR"/>
        </w:rPr>
        <w:t>Les candidats ont la possibilité de soumettre des offres pour tous les lots.</w:t>
      </w:r>
    </w:p>
    <w:p>
      <w:pPr>
        <w:pStyle w:val="Titre2"/>
        <w:ind w:left="280"/>
        <w:jc w:val="both"/>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pPr>
        <w:pStyle w:val="ParagrapheIndent2"/>
        <w:spacing w:line="232" w:lineRule="exact"/>
        <w:jc w:val="both"/>
        <w:rPr>
          <w:color w:val="000000"/>
          <w:lang w:val="fr-FR"/>
        </w:rPr>
      </w:pPr>
      <w:r>
        <w:rPr>
          <w:color w:val="000000"/>
          <w:lang w:val="fr-FR"/>
        </w:rPr>
        <w:t>La classification conforme au vocabulaire commun des marchés européens (CPV) est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50400000-9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matériel médical et de matériel de précision</w:t>
            </w:r>
          </w:p>
        </w:tc>
      </w:tr>
    </w:tbl>
    <w:p>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50421000-2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matériel médical</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50421000-2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matériel médical</w:t>
            </w:r>
          </w:p>
        </w:tc>
      </w:tr>
    </w:tbl>
    <w:p>
      <w:pPr>
        <w:sectPr>
          <w:footerReference w:type="default" r:id="rId20"/>
          <w:pgSz w:w="11900" w:h="16840"/>
          <w:pgMar w:top="580" w:right="1140" w:bottom="580" w:left="1140" w:header="580" w:footer="580" w:gutter="0"/>
          <w:cols w:space="708"/>
        </w:sectPr>
      </w:pPr>
    </w:p>
    <w:p>
      <w:pPr>
        <w:pStyle w:val="Titre2"/>
        <w:ind w:left="280"/>
        <w:jc w:val="both"/>
        <w:rPr>
          <w:rFonts w:ascii="Trebuchet MS" w:eastAsia="Trebuchet MS" w:hAnsi="Trebuchet MS" w:cs="Trebuchet MS"/>
          <w:i w:val="0"/>
          <w:color w:val="000000"/>
          <w:sz w:val="24"/>
          <w:lang w:val="fr-FR"/>
        </w:rPr>
      </w:pPr>
      <w:bookmarkStart w:id="12" w:name="ArtL2_RC-2-A1.9"/>
      <w:bookmarkStart w:id="13" w:name="_Toc256000006"/>
      <w:bookmarkEnd w:id="12"/>
      <w:r>
        <w:rPr>
          <w:rFonts w:ascii="Trebuchet MS" w:eastAsia="Trebuchet MS" w:hAnsi="Trebuchet MS" w:cs="Trebuchet MS"/>
          <w:i w:val="0"/>
          <w:color w:val="000000"/>
          <w:sz w:val="24"/>
          <w:lang w:val="fr-FR"/>
        </w:rPr>
        <w:lastRenderedPageBreak/>
        <w:t>1.6 - Renouvellement</w:t>
      </w:r>
      <w:bookmarkEnd w:id="13"/>
    </w:p>
    <w:p>
      <w:pPr>
        <w:pStyle w:val="ParagrapheIndent2"/>
        <w:spacing w:after="240"/>
        <w:jc w:val="both"/>
        <w:rPr>
          <w:color w:val="000000"/>
          <w:lang w:val="fr-FR"/>
        </w:rPr>
      </w:pPr>
      <w:r>
        <w:rPr>
          <w:color w:val="000000"/>
          <w:lang w:val="fr-FR"/>
        </w:rPr>
        <w:t>Il s'agit d'un marché renouvelable en raison du caractère récurrent des prestations.</w:t>
      </w:r>
    </w:p>
    <w:p>
      <w:pPr>
        <w:pStyle w:val="Titre1"/>
        <w:shd w:val="clear" w:color="2A7CBF" w:fill="2A7CBF"/>
        <w:rPr>
          <w:rFonts w:ascii="Trebuchet MS" w:eastAsia="Trebuchet MS" w:hAnsi="Trebuchet MS" w:cs="Trebuchet MS"/>
          <w:color w:val="FFFFFF"/>
          <w:sz w:val="28"/>
          <w:lang w:val="fr-FR"/>
        </w:rPr>
      </w:pPr>
      <w:bookmarkStart w:id="14" w:name="ArtL1_RC-2-A2"/>
      <w:bookmarkStart w:id="15" w:name="_Toc256000007"/>
      <w:bookmarkEnd w:id="14"/>
      <w:r>
        <w:rPr>
          <w:rFonts w:ascii="Trebuchet MS" w:eastAsia="Trebuchet MS" w:hAnsi="Trebuchet MS" w:cs="Trebuchet MS"/>
          <w:color w:val="FFFFFF"/>
          <w:sz w:val="28"/>
          <w:lang w:val="fr-FR"/>
        </w:rPr>
        <w:t>2 - Conditions de la consultation</w:t>
      </w:r>
      <w:bookmarkEnd w:id="15"/>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16" w:name="ArtL2_RC-2-A2.2"/>
      <w:bookmarkStart w:id="17" w:name="_Toc256000008"/>
      <w:bookmarkEnd w:id="16"/>
      <w:r>
        <w:rPr>
          <w:rFonts w:ascii="Trebuchet MS" w:eastAsia="Trebuchet MS" w:hAnsi="Trebuchet MS" w:cs="Trebuchet MS"/>
          <w:i w:val="0"/>
          <w:color w:val="000000"/>
          <w:sz w:val="24"/>
          <w:lang w:val="fr-FR"/>
        </w:rPr>
        <w:t>2.1 - Délai de validité des offres</w:t>
      </w:r>
      <w:bookmarkEnd w:id="17"/>
    </w:p>
    <w:p>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pPr>
        <w:pStyle w:val="Titre2"/>
        <w:ind w:left="280"/>
        <w:jc w:val="both"/>
        <w:rPr>
          <w:rFonts w:ascii="Trebuchet MS" w:eastAsia="Trebuchet MS" w:hAnsi="Trebuchet MS" w:cs="Trebuchet MS"/>
          <w:i w:val="0"/>
          <w:color w:val="000000"/>
          <w:sz w:val="24"/>
          <w:lang w:val="fr-FR"/>
        </w:rPr>
      </w:pPr>
      <w:bookmarkStart w:id="18" w:name="ArtL2_RC-2-A2.3"/>
      <w:bookmarkStart w:id="19" w:name="_Toc256000009"/>
      <w:bookmarkEnd w:id="18"/>
      <w:r>
        <w:rPr>
          <w:rFonts w:ascii="Trebuchet MS" w:eastAsia="Trebuchet MS" w:hAnsi="Trebuchet MS" w:cs="Trebuchet MS"/>
          <w:i w:val="0"/>
          <w:color w:val="000000"/>
          <w:sz w:val="24"/>
          <w:lang w:val="fr-FR"/>
        </w:rPr>
        <w:t>2.2 - Forme juridique du groupement</w:t>
      </w:r>
      <w:bookmarkEnd w:id="19"/>
    </w:p>
    <w:p>
      <w:pPr>
        <w:pStyle w:val="ParagrapheIndent2"/>
        <w:spacing w:after="240"/>
        <w:jc w:val="both"/>
        <w:rPr>
          <w:color w:val="000000"/>
          <w:lang w:val="fr-FR"/>
        </w:rPr>
      </w:pPr>
      <w:r>
        <w:rPr>
          <w:color w:val="000000"/>
          <w:lang w:val="fr-FR"/>
        </w:rPr>
        <w:t>Le pouvoir adjudicateur ne souhaite imposer aucune forme de groupement à l'attributaire du marché.</w:t>
      </w:r>
    </w:p>
    <w:p>
      <w:pPr>
        <w:pStyle w:val="Titre2"/>
        <w:ind w:left="280"/>
        <w:jc w:val="both"/>
        <w:rPr>
          <w:rFonts w:ascii="Trebuchet MS" w:eastAsia="Trebuchet MS" w:hAnsi="Trebuchet MS" w:cs="Trebuchet MS"/>
          <w:i w:val="0"/>
          <w:color w:val="000000"/>
          <w:sz w:val="24"/>
          <w:lang w:val="fr-FR"/>
        </w:rPr>
      </w:pPr>
      <w:bookmarkStart w:id="20" w:name="ArtL2_RC-2-A2.5"/>
      <w:bookmarkStart w:id="21" w:name="_Toc256000010"/>
      <w:bookmarkEnd w:id="20"/>
      <w:r>
        <w:rPr>
          <w:rFonts w:ascii="Trebuchet MS" w:eastAsia="Trebuchet MS" w:hAnsi="Trebuchet MS" w:cs="Trebuchet MS"/>
          <w:i w:val="0"/>
          <w:color w:val="000000"/>
          <w:sz w:val="24"/>
          <w:lang w:val="fr-FR"/>
        </w:rPr>
        <w:t>2.3 - Variantes</w:t>
      </w:r>
      <w:bookmarkEnd w:id="21"/>
    </w:p>
    <w:p>
      <w:pPr>
        <w:pStyle w:val="ParagrapheIndent2"/>
        <w:spacing w:after="240"/>
        <w:jc w:val="both"/>
        <w:rPr>
          <w:color w:val="000000"/>
          <w:lang w:val="fr-FR"/>
        </w:rPr>
      </w:pPr>
      <w:r>
        <w:rPr>
          <w:color w:val="000000"/>
          <w:lang w:val="fr-FR"/>
        </w:rPr>
        <w:t>Aucune variante n'est autorisée.</w:t>
      </w:r>
    </w:p>
    <w:p>
      <w:pPr>
        <w:pStyle w:val="Titre1"/>
        <w:shd w:val="clear" w:color="2A7CBF" w:fill="2A7CBF"/>
        <w:rPr>
          <w:rFonts w:ascii="Trebuchet MS" w:eastAsia="Trebuchet MS" w:hAnsi="Trebuchet MS" w:cs="Trebuchet MS"/>
          <w:color w:val="FFFFFF"/>
          <w:sz w:val="28"/>
          <w:lang w:val="fr-FR"/>
        </w:rPr>
      </w:pPr>
      <w:bookmarkStart w:id="22" w:name="ArtL1_RC-2-A4"/>
      <w:bookmarkStart w:id="23" w:name="_Toc256000011"/>
      <w:bookmarkEnd w:id="22"/>
      <w:r>
        <w:rPr>
          <w:rFonts w:ascii="Trebuchet MS" w:eastAsia="Trebuchet MS" w:hAnsi="Trebuchet MS" w:cs="Trebuchet MS"/>
          <w:color w:val="FFFFFF"/>
          <w:sz w:val="28"/>
          <w:lang w:val="fr-FR"/>
        </w:rPr>
        <w:t>3 - Conditions relatives au contrat</w:t>
      </w:r>
      <w:bookmarkEnd w:id="23"/>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24" w:name="ArtL2_RC-2-A4.1"/>
      <w:bookmarkStart w:id="25" w:name="_Toc256000012"/>
      <w:bookmarkEnd w:id="24"/>
      <w:r>
        <w:rPr>
          <w:rFonts w:ascii="Trebuchet MS" w:eastAsia="Trebuchet MS" w:hAnsi="Trebuchet MS" w:cs="Trebuchet MS"/>
          <w:i w:val="0"/>
          <w:color w:val="000000"/>
          <w:sz w:val="24"/>
          <w:lang w:val="fr-FR"/>
        </w:rPr>
        <w:t>3.1 - Durée du contrat ou délai d'exécution</w:t>
      </w:r>
      <w:bookmarkEnd w:id="25"/>
    </w:p>
    <w:p>
      <w:pPr>
        <w:pStyle w:val="ParagrapheIndent2"/>
        <w:spacing w:after="240"/>
        <w:jc w:val="both"/>
        <w:rPr>
          <w:color w:val="000000"/>
          <w:lang w:val="fr-FR"/>
        </w:rPr>
      </w:pPr>
      <w:r>
        <w:rPr>
          <w:color w:val="000000"/>
          <w:lang w:val="fr-FR"/>
        </w:rPr>
        <w:t>La durée de la période initiale est fixée au CCAP.</w:t>
      </w:r>
    </w:p>
    <w:p>
      <w:pPr>
        <w:pStyle w:val="Titre2"/>
        <w:ind w:left="280"/>
        <w:jc w:val="both"/>
        <w:rPr>
          <w:rFonts w:ascii="Trebuchet MS" w:eastAsia="Trebuchet MS" w:hAnsi="Trebuchet MS" w:cs="Trebuchet MS"/>
          <w:i w:val="0"/>
          <w:color w:val="000000"/>
          <w:sz w:val="24"/>
          <w:lang w:val="fr-FR"/>
        </w:rPr>
      </w:pPr>
      <w:bookmarkStart w:id="26" w:name="ArtL2_RC-2-A4.2"/>
      <w:bookmarkStart w:id="27" w:name="_Toc256000013"/>
      <w:bookmarkEnd w:id="26"/>
      <w:r>
        <w:rPr>
          <w:rFonts w:ascii="Trebuchet MS" w:eastAsia="Trebuchet MS" w:hAnsi="Trebuchet MS" w:cs="Trebuchet MS"/>
          <w:i w:val="0"/>
          <w:color w:val="000000"/>
          <w:sz w:val="24"/>
          <w:lang w:val="fr-FR"/>
        </w:rPr>
        <w:t>3.2 - Modalités essentielles de financement et de paiement</w:t>
      </w:r>
      <w:bookmarkEnd w:id="27"/>
    </w:p>
    <w:p>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50 jours à compter de la date de réception des factures ou des demandes de paiement équivalentes.</w:t>
      </w:r>
    </w:p>
    <w:p>
      <w:pPr>
        <w:pStyle w:val="Titre1"/>
        <w:shd w:val="clear" w:color="2A7CBF" w:fill="2A7CBF"/>
        <w:rPr>
          <w:rFonts w:ascii="Trebuchet MS" w:eastAsia="Trebuchet MS" w:hAnsi="Trebuchet MS" w:cs="Trebuchet MS"/>
          <w:color w:val="FFFFFF"/>
          <w:sz w:val="28"/>
          <w:lang w:val="fr-FR"/>
        </w:rPr>
      </w:pPr>
      <w:bookmarkStart w:id="28" w:name="ArtL1_RC-2-A5"/>
      <w:bookmarkStart w:id="29" w:name="_Toc256000014"/>
      <w:bookmarkEnd w:id="28"/>
      <w:r>
        <w:rPr>
          <w:rFonts w:ascii="Trebuchet MS" w:eastAsia="Trebuchet MS" w:hAnsi="Trebuchet MS" w:cs="Trebuchet MS"/>
          <w:color w:val="FFFFFF"/>
          <w:sz w:val="28"/>
          <w:lang w:val="fr-FR"/>
        </w:rPr>
        <w:t>4 - Contenu du dossier de consultation</w:t>
      </w:r>
      <w:bookmarkEnd w:id="29"/>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Le dossier de consultation des entreprises (DCE) contient les pièces suivantes :</w:t>
      </w:r>
    </w:p>
    <w:p>
      <w:pPr>
        <w:pStyle w:val="ParagrapheIndent1"/>
        <w:spacing w:line="232" w:lineRule="exact"/>
        <w:jc w:val="both"/>
        <w:rPr>
          <w:color w:val="000000"/>
          <w:lang w:val="fr-FR"/>
        </w:rPr>
      </w:pPr>
      <w:r>
        <w:rPr>
          <w:color w:val="000000"/>
          <w:lang w:val="fr-FR"/>
        </w:rPr>
        <w:t>- Le règlement de la consultation (RC)</w:t>
      </w:r>
    </w:p>
    <w:p>
      <w:pPr>
        <w:pStyle w:val="ParagrapheIndent1"/>
        <w:spacing w:line="232" w:lineRule="exact"/>
        <w:jc w:val="both"/>
        <w:rPr>
          <w:color w:val="000000"/>
          <w:lang w:val="fr-FR"/>
        </w:rPr>
      </w:pPr>
      <w:r>
        <w:rPr>
          <w:color w:val="000000"/>
          <w:lang w:val="fr-FR"/>
        </w:rPr>
        <w:t>- L'acte d'engagement (AE) et ses annexes éventuelles</w:t>
      </w:r>
    </w:p>
    <w:p>
      <w:pPr>
        <w:pStyle w:val="ParagrapheIndent1"/>
        <w:spacing w:line="232" w:lineRule="exact"/>
        <w:jc w:val="both"/>
        <w:rPr>
          <w:color w:val="000000"/>
          <w:lang w:val="fr-FR"/>
        </w:rPr>
      </w:pPr>
      <w:r>
        <w:rPr>
          <w:color w:val="000000"/>
          <w:lang w:val="fr-FR"/>
        </w:rPr>
        <w:t>- Le cahier des clauses administratives particulières (CCAP) et ses annexes éventuelles</w:t>
      </w:r>
    </w:p>
    <w:p>
      <w:pPr>
        <w:pStyle w:val="ParagrapheIndent1"/>
        <w:spacing w:line="232" w:lineRule="exact"/>
        <w:jc w:val="both"/>
        <w:rPr>
          <w:color w:val="000000"/>
          <w:lang w:val="fr-FR"/>
        </w:rPr>
      </w:pPr>
      <w:r>
        <w:rPr>
          <w:color w:val="000000"/>
          <w:lang w:val="fr-FR"/>
        </w:rPr>
        <w:t>- Le cahier des clauses techniques particulières (CCTP) et ses annexes</w:t>
      </w:r>
    </w:p>
    <w:p>
      <w:pPr>
        <w:pStyle w:val="ParagrapheIndent1"/>
        <w:spacing w:line="232" w:lineRule="exact"/>
        <w:jc w:val="both"/>
        <w:rPr>
          <w:color w:val="000000"/>
          <w:lang w:val="fr-FR"/>
        </w:rPr>
      </w:pPr>
      <w:r>
        <w:rPr>
          <w:color w:val="000000"/>
          <w:lang w:val="fr-FR"/>
        </w:rPr>
        <w:t>- Le bordereau des prix unitaires (BPU)</w:t>
      </w:r>
    </w:p>
    <w:p>
      <w:pPr>
        <w:pStyle w:val="ParagrapheIndent1"/>
        <w:spacing w:line="232" w:lineRule="exact"/>
        <w:jc w:val="both"/>
        <w:rPr>
          <w:color w:val="000000"/>
          <w:lang w:val="fr-FR"/>
        </w:rPr>
      </w:pPr>
      <w:r>
        <w:rPr>
          <w:color w:val="000000"/>
          <w:lang w:val="fr-FR"/>
        </w:rPr>
        <w:t>- Les formulaires types (DC4, DC1 et DC2 ou DUME (qui remplacera très prochainement le DC1 et DC2 et simplifie la candidature : pour la création du DUME, l’opérateur économique doit se rendre sur https://dume.chorus-pro.gouv.fr partie entreprise))</w:t>
      </w:r>
    </w:p>
    <w:p>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pPr>
        <w:pStyle w:val="ParagrapheIndent1"/>
        <w:spacing w:after="240" w:line="232" w:lineRule="exact"/>
        <w:jc w:val="both"/>
        <w:rPr>
          <w:color w:val="000000"/>
          <w:lang w:val="fr-FR"/>
        </w:rPr>
      </w:pPr>
    </w:p>
    <w:p>
      <w:pPr>
        <w:pStyle w:val="ParagrapheIndent1"/>
        <w:spacing w:after="240"/>
        <w:jc w:val="both"/>
        <w:rPr>
          <w:color w:val="000000"/>
          <w:lang w:val="fr-FR"/>
        </w:rPr>
      </w:pPr>
      <w:r>
        <w:rPr>
          <w:color w:val="000000"/>
          <w:lang w:val="fr-FR"/>
        </w:rPr>
        <w:t>Il est remis gratuitement à chaque candidat.</w:t>
      </w:r>
    </w:p>
    <w:p>
      <w:pPr>
        <w:pStyle w:val="ParagrapheIndent1"/>
        <w:spacing w:after="240"/>
        <w:jc w:val="both"/>
        <w:rPr>
          <w:color w:val="000000"/>
          <w:lang w:val="fr-FR"/>
        </w:rPr>
      </w:pPr>
      <w:r>
        <w:rPr>
          <w:color w:val="000000"/>
          <w:lang w:val="fr-FR"/>
        </w:rPr>
        <w:t>Aucune demande d'envoi du DCE sur support physique électronique n'est autorisée.</w:t>
      </w:r>
    </w:p>
    <w:p>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pPr>
        <w:pStyle w:val="ParagrapheIndent2"/>
        <w:spacing w:line="232" w:lineRule="exact"/>
        <w:jc w:val="both"/>
        <w:rPr>
          <w:color w:val="000000"/>
          <w:lang w:val="fr-FR"/>
        </w:rPr>
        <w:sectPr>
          <w:footerReference w:type="default" r:id="rId21"/>
          <w:pgSz w:w="11900" w:h="16840"/>
          <w:pgMar w:top="580" w:right="1140" w:bottom="580" w:left="1140" w:header="580" w:footer="580" w:gutter="0"/>
          <w:cols w:space="708"/>
        </w:sectPr>
      </w:pPr>
      <w:r>
        <w:rPr>
          <w:b/>
          <w:color w:val="000000"/>
          <w:u w:val="single"/>
          <w:lang w:val="fr-FR"/>
        </w:rPr>
        <w:t xml:space="preserve">Attention : </w:t>
      </w:r>
      <w:r>
        <w:rPr>
          <w:color w:val="000000"/>
          <w:lang w:val="fr-FR"/>
        </w:rPr>
        <w:t>seules les annexes contenues dans le DCE ont valeur contractuelle. Sauf disposition expresse contraire, les candidats ne sont pas autorisés à proposer leur propre bordereau de prix. Si les candidats fournissent l’annexe de bordereau des prix ainsi que leur propre bordereau de prix et que des divergences apparaissent entre les deux documents, le CHU de BESANCON considèrera qu’il s’agit de deux offres distinctes et les rejettera.</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30" w:name="ArtL1_RC-2-A6"/>
      <w:bookmarkStart w:id="31" w:name="_Toc256000015"/>
      <w:bookmarkEnd w:id="30"/>
      <w:r>
        <w:rPr>
          <w:rFonts w:ascii="Trebuchet MS" w:eastAsia="Trebuchet MS" w:hAnsi="Trebuchet MS" w:cs="Trebuchet MS"/>
          <w:color w:val="FFFFFF"/>
          <w:sz w:val="28"/>
          <w:lang w:val="fr-FR"/>
        </w:rPr>
        <w:lastRenderedPageBreak/>
        <w:t>5 - Présentation des candidatures et des offres</w:t>
      </w:r>
      <w:bookmarkEnd w:id="31"/>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pPr>
        <w:pStyle w:val="Titre2"/>
        <w:ind w:left="280"/>
        <w:jc w:val="both"/>
        <w:rPr>
          <w:rFonts w:ascii="Trebuchet MS" w:eastAsia="Trebuchet MS" w:hAnsi="Trebuchet MS" w:cs="Trebuchet MS"/>
          <w:i w:val="0"/>
          <w:color w:val="000000"/>
          <w:sz w:val="24"/>
          <w:lang w:val="fr-FR"/>
        </w:rPr>
      </w:pPr>
      <w:bookmarkStart w:id="32" w:name="ArtL2_RC-2-A6.5"/>
      <w:bookmarkStart w:id="33" w:name="_Toc256000016"/>
      <w:bookmarkEnd w:id="32"/>
      <w:r>
        <w:rPr>
          <w:rFonts w:ascii="Trebuchet MS" w:eastAsia="Trebuchet MS" w:hAnsi="Trebuchet MS" w:cs="Trebuchet MS"/>
          <w:i w:val="0"/>
          <w:color w:val="000000"/>
          <w:sz w:val="24"/>
          <w:lang w:val="fr-FR"/>
        </w:rPr>
        <w:t>5.1 - Documents à produire</w:t>
      </w:r>
      <w:bookmarkEnd w:id="33"/>
    </w:p>
    <w:p>
      <w:pPr>
        <w:pStyle w:val="ParagrapheIndent2"/>
        <w:spacing w:line="232" w:lineRule="exact"/>
        <w:jc w:val="both"/>
        <w:rPr>
          <w:color w:val="000000"/>
          <w:lang w:val="fr-FR"/>
        </w:rPr>
      </w:pPr>
      <w:r>
        <w:rPr>
          <w:color w:val="000000"/>
          <w:lang w:val="fr-FR"/>
        </w:rPr>
        <w:t>Chaque candidat aura à produire un dossier complet comprenant les pièces suivantes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Renseignements concernant la situation juridique de l'entreprise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2"/>
        <w:spacing w:line="232" w:lineRule="exact"/>
        <w:jc w:val="both"/>
        <w:rPr>
          <w:color w:val="000000"/>
          <w:lang w:val="fr-FR"/>
        </w:rPr>
      </w:pPr>
      <w:r>
        <w:rPr>
          <w:color w:val="000000"/>
          <w:lang w:val="fr-FR"/>
        </w:rPr>
        <w:t>Renseignements concernant la capacité économique et financière de l'entreprise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pPr>
        <w:pStyle w:val="ParagrapheIndent2"/>
        <w:spacing w:line="232" w:lineRule="exact"/>
        <w:jc w:val="both"/>
        <w:rPr>
          <w:color w:val="000000"/>
          <w:lang w:val="fr-FR"/>
        </w:rPr>
      </w:pPr>
      <w:r>
        <w:rPr>
          <w:color w:val="000000"/>
          <w:lang w:val="fr-FR"/>
        </w:rPr>
        <w:t>Pièces de l'offre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technique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catalogue des prix du fournisseur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ectPr>
          <w:footerReference w:type="default" r:id="rId22"/>
          <w:pgSz w:w="11900" w:h="16840"/>
          <w:pgMar w:top="580" w:right="1140" w:bottom="580" w:left="1140" w:header="580" w:footer="580" w:gutter="0"/>
          <w:cols w:space="708"/>
        </w:sectPr>
      </w:pPr>
    </w:p>
    <w:p>
      <w:pPr>
        <w:pStyle w:val="ParagrapheIndent2"/>
        <w:spacing w:after="240" w:line="232" w:lineRule="exact"/>
        <w:jc w:val="both"/>
        <w:rPr>
          <w:color w:val="000000"/>
          <w:lang w:val="fr-FR"/>
        </w:rPr>
      </w:pPr>
      <w:r>
        <w:rPr>
          <w:color w:val="000000"/>
          <w:lang w:val="fr-FR"/>
        </w:rPr>
        <w:lastRenderedPageBreak/>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pPr>
        <w:pStyle w:val="ParagrapheIndent3"/>
        <w:spacing w:line="232" w:lineRule="exact"/>
        <w:jc w:val="both"/>
        <w:rPr>
          <w:color w:val="000000"/>
          <w:lang w:val="fr-FR"/>
        </w:rPr>
      </w:pPr>
      <w:r>
        <w:rPr>
          <w:color w:val="000000"/>
          <w:lang w:val="fr-FR"/>
        </w:rPr>
        <w:t xml:space="preserve">Afin d’éviter tout retard dans la notification ainsi que toute démarche supplémentaire, les candidats ont la </w:t>
      </w:r>
      <w:r>
        <w:rPr>
          <w:b/>
          <w:color w:val="000000"/>
          <w:lang w:val="fr-FR"/>
        </w:rPr>
        <w:t>possibilité de compléter et signer le formulaire ATTRI1</w:t>
      </w:r>
      <w:r>
        <w:rPr>
          <w:color w:val="000000"/>
          <w:lang w:val="fr-FR"/>
        </w:rPr>
        <w:t xml:space="preserve"> (acte d’engagement). La signature du formulaire est possible mais n’est pas </w:t>
      </w:r>
      <w:proofErr w:type="gramStart"/>
      <w:r>
        <w:rPr>
          <w:color w:val="000000"/>
          <w:lang w:val="fr-FR"/>
        </w:rPr>
        <w:t>obligatoire;</w:t>
      </w:r>
      <w:proofErr w:type="gramEnd"/>
      <w:r>
        <w:rPr>
          <w:color w:val="000000"/>
          <w:lang w:val="fr-FR"/>
        </w:rPr>
        <w:t xml:space="preserve"> seul le candidat dont l’offre est retenue est tenu de le signer.</w:t>
      </w:r>
      <w:r>
        <w:rPr>
          <w:b/>
          <w:color w:val="000000"/>
          <w:lang w:val="fr-FR"/>
        </w:rPr>
        <w:t xml:space="preserve"> La signature électronique n’est pas obligatoire mais fortement conseillée.</w:t>
      </w:r>
      <w:r>
        <w:rPr>
          <w:color w:val="000000"/>
          <w:lang w:val="fr-FR"/>
        </w:rPr>
        <w:t> </w:t>
      </w:r>
    </w:p>
    <w:p>
      <w:pPr>
        <w:pStyle w:val="ParagrapheIndent3"/>
        <w:spacing w:after="240" w:line="232" w:lineRule="exact"/>
        <w:jc w:val="both"/>
        <w:rPr>
          <w:color w:val="000000"/>
          <w:lang w:val="fr-FR"/>
        </w:rPr>
      </w:pPr>
      <w:r>
        <w:rPr>
          <w:color w:val="000000"/>
          <w:lang w:val="fr-FR"/>
        </w:rPr>
        <w:t xml:space="preserve">Les candidats sont, à défaut, informés que seul le dépôt de leur offre (offre financière, BPU, autre annexes financières) vaut engagement de leur part à signer ultérieurement le marché qui sera attribué, aux conditions de l’offre </w:t>
      </w:r>
      <w:proofErr w:type="gramStart"/>
      <w:r>
        <w:rPr>
          <w:color w:val="000000"/>
          <w:lang w:val="fr-FR"/>
        </w:rPr>
        <w:t>transmise:</w:t>
      </w:r>
      <w:proofErr w:type="gramEnd"/>
      <w:r>
        <w:rPr>
          <w:color w:val="000000"/>
          <w:lang w:val="fr-FR"/>
        </w:rPr>
        <w:t xml:space="preserve"> tout défaut de signature, retard ou réticence exposera le candidat auteur de l’offre retenue à une action en responsabilité.</w:t>
      </w:r>
    </w:p>
    <w:p>
      <w:pPr>
        <w:pStyle w:val="Titre1"/>
        <w:shd w:val="clear" w:color="2A7CBF" w:fill="2A7CBF"/>
        <w:rPr>
          <w:rFonts w:ascii="Trebuchet MS" w:eastAsia="Trebuchet MS" w:hAnsi="Trebuchet MS" w:cs="Trebuchet MS"/>
          <w:color w:val="FFFFFF"/>
          <w:sz w:val="28"/>
          <w:lang w:val="fr-FR"/>
        </w:rPr>
      </w:pPr>
      <w:bookmarkStart w:id="34" w:name="ArtL1_RC-2-A7"/>
      <w:bookmarkStart w:id="35" w:name="_Toc256000017"/>
      <w:bookmarkEnd w:id="34"/>
      <w:r>
        <w:rPr>
          <w:rFonts w:ascii="Trebuchet MS" w:eastAsia="Trebuchet MS" w:hAnsi="Trebuchet MS" w:cs="Trebuchet MS"/>
          <w:color w:val="FFFFFF"/>
          <w:sz w:val="28"/>
          <w:lang w:val="fr-FR"/>
        </w:rPr>
        <w:t>6 - Conditions d'envoi ou de remise des plis</w:t>
      </w:r>
      <w:bookmarkEnd w:id="35"/>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pPr>
        <w:pStyle w:val="Titre2"/>
        <w:ind w:left="280"/>
        <w:jc w:val="both"/>
        <w:rPr>
          <w:rFonts w:ascii="Trebuchet MS" w:eastAsia="Trebuchet MS" w:hAnsi="Trebuchet MS" w:cs="Trebuchet MS"/>
          <w:i w:val="0"/>
          <w:color w:val="000000"/>
          <w:sz w:val="24"/>
          <w:lang w:val="fr-FR"/>
        </w:rPr>
      </w:pPr>
      <w:bookmarkStart w:id="36" w:name="ArtL2_RC-2-A7.4"/>
      <w:bookmarkStart w:id="37" w:name="_Toc256000018"/>
      <w:bookmarkEnd w:id="36"/>
      <w:r>
        <w:rPr>
          <w:rFonts w:ascii="Trebuchet MS" w:eastAsia="Trebuchet MS" w:hAnsi="Trebuchet MS" w:cs="Trebuchet MS"/>
          <w:i w:val="0"/>
          <w:color w:val="000000"/>
          <w:sz w:val="24"/>
          <w:lang w:val="fr-FR"/>
        </w:rPr>
        <w:t>6.1 - Transmission électronique</w:t>
      </w:r>
      <w:bookmarkEnd w:id="37"/>
    </w:p>
    <w:p>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pPr>
        <w:pStyle w:val="ParagrapheIndent2"/>
        <w:spacing w:line="232" w:lineRule="exact"/>
        <w:jc w:val="both"/>
        <w:rPr>
          <w:color w:val="000000"/>
          <w:lang w:val="fr-FR"/>
        </w:rPr>
      </w:pP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copie de sauvegarde peut être transmise ou déposée à l'adresse suivante :</w:t>
      </w:r>
    </w:p>
    <w:p>
      <w:pPr>
        <w:pStyle w:val="ParagrapheIndent2"/>
        <w:spacing w:line="232" w:lineRule="exact"/>
        <w:jc w:val="both"/>
        <w:rPr>
          <w:color w:val="000000"/>
          <w:lang w:val="fr-FR"/>
        </w:rPr>
      </w:pPr>
      <w:r>
        <w:rPr>
          <w:color w:val="000000"/>
          <w:lang w:val="fr-FR"/>
        </w:rPr>
        <w:t>CHU de BESANCON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DSHA Bâtiment blanc +2</w:t>
      </w:r>
    </w:p>
    <w:p>
      <w:pPr>
        <w:pStyle w:val="ParagrapheIndent2"/>
        <w:spacing w:line="232" w:lineRule="exact"/>
        <w:jc w:val="both"/>
        <w:rPr>
          <w:color w:val="000000"/>
          <w:lang w:val="fr-FR"/>
        </w:rPr>
      </w:pPr>
      <w:r>
        <w:rPr>
          <w:color w:val="000000"/>
          <w:lang w:val="fr-FR"/>
        </w:rPr>
        <w:t>3 Boulevard Alexandre Fleming</w:t>
      </w:r>
    </w:p>
    <w:p>
      <w:pPr>
        <w:pStyle w:val="ParagrapheIndent2"/>
        <w:spacing w:line="232" w:lineRule="exact"/>
        <w:jc w:val="both"/>
        <w:rPr>
          <w:color w:val="000000"/>
          <w:lang w:val="fr-FR"/>
        </w:rPr>
      </w:pPr>
      <w:r>
        <w:rPr>
          <w:color w:val="000000"/>
          <w:lang w:val="fr-FR"/>
        </w:rPr>
        <w:t>25030 BESANCON Cedex</w:t>
      </w:r>
    </w:p>
    <w:p>
      <w:pPr>
        <w:pStyle w:val="ParagrapheIndent2"/>
        <w:spacing w:after="240" w:line="232" w:lineRule="exact"/>
        <w:jc w:val="both"/>
        <w:rPr>
          <w:color w:val="000000"/>
          <w:lang w:val="fr-FR"/>
        </w:rPr>
      </w:pPr>
    </w:p>
    <w:p>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pPr>
        <w:pStyle w:val="ParagrapheIndent2"/>
        <w:jc w:val="both"/>
        <w:rPr>
          <w:color w:val="000000"/>
          <w:lang w:val="fr-FR"/>
        </w:rPr>
        <w:sectPr>
          <w:footerReference w:type="default" r:id="rId23"/>
          <w:pgSz w:w="11900" w:h="16840"/>
          <w:pgMar w:top="820" w:right="1140" w:bottom="580" w:left="1140" w:header="820" w:footer="580" w:gutter="0"/>
          <w:cols w:space="708"/>
        </w:sectPr>
      </w:pPr>
      <w:r>
        <w:rPr>
          <w:color w:val="000000"/>
          <w:lang w:val="fr-FR"/>
        </w:rPr>
        <w:t>La signature électronique des documents n'est pas exigée dans le cadre de cette consultation.</w:t>
      </w:r>
      <w:r>
        <w:rPr>
          <w:color w:val="000000"/>
          <w:lang w:val="fr-FR"/>
        </w:rPr>
        <w:cr/>
      </w:r>
    </w:p>
    <w:p>
      <w:pPr>
        <w:pStyle w:val="ParagrapheIndent2"/>
        <w:spacing w:after="240" w:line="232" w:lineRule="exact"/>
        <w:jc w:val="both"/>
        <w:rPr>
          <w:color w:val="000000"/>
          <w:lang w:val="fr-FR"/>
        </w:rPr>
      </w:pPr>
      <w:r>
        <w:rPr>
          <w:color w:val="000000"/>
          <w:lang w:val="fr-FR"/>
        </w:rPr>
        <w:lastRenderedPageBreak/>
        <w:t>La signature électronique du contrat par l'attributaire n'est pas exigée dans le cadre de cette consultation.</w:t>
      </w:r>
    </w:p>
    <w:p>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trPr>
                <w:trHeight w:val="40"/>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val="restart"/>
                  <w:tcMar>
                    <w:top w:w="0" w:type="dxa"/>
                    <w:left w:w="0" w:type="dxa"/>
                    <w:bottom w:w="0" w:type="dxa"/>
                    <w:right w:w="0" w:type="dxa"/>
                  </w:tcMar>
                  <w:vAlign w:val="center"/>
                </w:tcPr>
                <w:p>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trPr>
                <w:trHeight w:val="385"/>
              </w:trPr>
              <w:tc>
                <w:tcPr>
                  <w:tcW w:w="400" w:type="dxa"/>
                  <w:tcMar>
                    <w:top w:w="0" w:type="dxa"/>
                    <w:left w:w="0" w:type="dxa"/>
                    <w:bottom w:w="0" w:type="dxa"/>
                    <w:right w:w="0" w:type="dxa"/>
                  </w:tcMar>
                </w:tcPr>
                <w:p>
                  <w:pPr>
                    <w:rPr>
                      <w:sz w:val="2"/>
                    </w:rPr>
                  </w:pPr>
                  <w:r>
                    <w:rPr>
                      <w:noProof/>
                    </w:rPr>
                    <w:drawing>
                      <wp:inline distT="0" distB="0" distL="0" distR="0">
                        <wp:extent cx="257175" cy="2571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r>
              <w:trPr>
                <w:trHeight w:val="45"/>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bl>
          <w:p>
            <w:pPr>
              <w:rPr>
                <w:sz w:val="2"/>
              </w:rPr>
            </w:pPr>
          </w:p>
        </w:tc>
      </w:tr>
    </w:tbl>
    <w:p>
      <w:pPr>
        <w:spacing w:line="240" w:lineRule="exact"/>
      </w:pPr>
      <w:r>
        <w:t xml:space="preserve"> </w:t>
      </w:r>
    </w:p>
    <w:p>
      <w:pPr>
        <w:pStyle w:val="Titre2"/>
        <w:ind w:left="280"/>
        <w:jc w:val="both"/>
        <w:rPr>
          <w:rFonts w:ascii="Trebuchet MS" w:eastAsia="Trebuchet MS" w:hAnsi="Trebuchet MS" w:cs="Trebuchet MS"/>
          <w:i w:val="0"/>
          <w:color w:val="000000"/>
          <w:sz w:val="24"/>
          <w:lang w:val="fr-FR"/>
        </w:rPr>
      </w:pPr>
      <w:bookmarkStart w:id="38" w:name="ArtL2_RC-2-A7.5"/>
      <w:bookmarkStart w:id="39" w:name="_Toc256000019"/>
      <w:bookmarkEnd w:id="38"/>
      <w:r>
        <w:rPr>
          <w:rFonts w:ascii="Trebuchet MS" w:eastAsia="Trebuchet MS" w:hAnsi="Trebuchet MS" w:cs="Trebuchet MS"/>
          <w:i w:val="0"/>
          <w:color w:val="000000"/>
          <w:sz w:val="24"/>
          <w:lang w:val="fr-FR"/>
        </w:rPr>
        <w:t>6.2 - Transmission sous support papier</w:t>
      </w:r>
      <w:bookmarkEnd w:id="39"/>
    </w:p>
    <w:p>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pPr>
        <w:pStyle w:val="Titre1"/>
        <w:shd w:val="clear" w:color="2A7CBF" w:fill="2A7CBF"/>
        <w:rPr>
          <w:rFonts w:ascii="Trebuchet MS" w:eastAsia="Trebuchet MS" w:hAnsi="Trebuchet MS" w:cs="Trebuchet MS"/>
          <w:color w:val="FFFFFF"/>
          <w:sz w:val="28"/>
          <w:lang w:val="fr-FR"/>
        </w:rPr>
      </w:pPr>
      <w:bookmarkStart w:id="40" w:name="ArtL1_RC-2-A9"/>
      <w:bookmarkStart w:id="41" w:name="_Toc256000020"/>
      <w:bookmarkEnd w:id="40"/>
      <w:r>
        <w:rPr>
          <w:rFonts w:ascii="Trebuchet MS" w:eastAsia="Trebuchet MS" w:hAnsi="Trebuchet MS" w:cs="Trebuchet MS"/>
          <w:color w:val="FFFFFF"/>
          <w:sz w:val="28"/>
          <w:lang w:val="fr-FR"/>
        </w:rPr>
        <w:t>7 - Examen des candidatures et des offres</w:t>
      </w:r>
      <w:bookmarkEnd w:id="41"/>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42" w:name="ArtL2_RC-2-A9.1"/>
      <w:bookmarkStart w:id="43" w:name="_Toc256000021"/>
      <w:bookmarkEnd w:id="42"/>
      <w:r>
        <w:rPr>
          <w:rFonts w:ascii="Trebuchet MS" w:eastAsia="Trebuchet MS" w:hAnsi="Trebuchet MS" w:cs="Trebuchet MS"/>
          <w:i w:val="0"/>
          <w:color w:val="000000"/>
          <w:sz w:val="24"/>
          <w:lang w:val="fr-FR"/>
        </w:rPr>
        <w:t>7.1 - Sélection des candidatures</w:t>
      </w:r>
      <w:bookmarkEnd w:id="43"/>
    </w:p>
    <w:p>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pPr>
        <w:pStyle w:val="Titre2"/>
        <w:ind w:left="280"/>
        <w:jc w:val="both"/>
        <w:rPr>
          <w:rFonts w:ascii="Trebuchet MS" w:eastAsia="Trebuchet MS" w:hAnsi="Trebuchet MS" w:cs="Trebuchet MS"/>
          <w:i w:val="0"/>
          <w:color w:val="000000"/>
          <w:sz w:val="24"/>
          <w:lang w:val="fr-FR"/>
        </w:rPr>
      </w:pPr>
      <w:bookmarkStart w:id="44" w:name="ArtL2_RC-2-A9.3"/>
      <w:bookmarkStart w:id="45" w:name="_Toc256000022"/>
      <w:bookmarkEnd w:id="44"/>
      <w:r>
        <w:rPr>
          <w:rFonts w:ascii="Trebuchet MS" w:eastAsia="Trebuchet MS" w:hAnsi="Trebuchet MS" w:cs="Trebuchet MS"/>
          <w:i w:val="0"/>
          <w:color w:val="000000"/>
          <w:sz w:val="24"/>
          <w:lang w:val="fr-FR"/>
        </w:rPr>
        <w:t>7.2 - Attribution des marchés</w:t>
      </w:r>
      <w:bookmarkEnd w:id="45"/>
    </w:p>
    <w:p>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pPr>
        <w:pStyle w:val="ParagrapheIndent2"/>
        <w:spacing w:line="232" w:lineRule="exact"/>
        <w:jc w:val="both"/>
        <w:rPr>
          <w:color w:val="000000"/>
          <w:lang w:val="fr-FR"/>
        </w:rPr>
      </w:pPr>
    </w:p>
    <w:p>
      <w:pPr>
        <w:spacing w:line="232" w:lineRule="exact"/>
        <w:ind w:right="10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pPr>
        <w:spacing w:line="232" w:lineRule="exact"/>
        <w:ind w:right="102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1-Organisation et gestion de la maintenance préventive permettant de répondre aux obligations du marché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r>
      <w:tr>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bl>
    <w:p>
      <w:pPr>
        <w:spacing w:after="20" w:line="240" w:lineRule="exact"/>
      </w:pPr>
      <w:r>
        <w:t xml:space="preserve"> </w:t>
      </w:r>
    </w:p>
    <w:p>
      <w:pPr>
        <w:pStyle w:val="ParagrapheIndent2"/>
        <w:spacing w:line="232" w:lineRule="exact"/>
        <w:jc w:val="both"/>
        <w:rPr>
          <w:color w:val="000000"/>
          <w:lang w:val="fr-FR"/>
        </w:rPr>
      </w:pPr>
      <w:r>
        <w:rPr>
          <w:color w:val="000000"/>
          <w:lang w:val="fr-FR"/>
        </w:rPr>
        <w:t>Le critère prix sera évalué sur l'offre proposée par le fournisseur dans le bordereau de prix unitaire via le prix remisé saisi pour les prix à l'attachement, ainsi que les prix forfaitaires remisés. Le tout sera totalisé et évalué selon la formule ci-dessous :</w:t>
      </w:r>
    </w:p>
    <w:p>
      <w:pPr>
        <w:pStyle w:val="ParagrapheIndent2"/>
        <w:spacing w:line="232" w:lineRule="exact"/>
        <w:jc w:val="both"/>
        <w:rPr>
          <w:color w:val="000000"/>
          <w:lang w:val="fr-FR"/>
        </w:rPr>
      </w:pPr>
      <w:r>
        <w:rPr>
          <w:color w:val="000000"/>
          <w:lang w:val="fr-FR"/>
        </w:rPr>
        <w:t xml:space="preserve">Note du candidat = (offre du candidat la moins </w:t>
      </w:r>
      <w:proofErr w:type="spellStart"/>
      <w:r>
        <w:rPr>
          <w:color w:val="000000"/>
          <w:lang w:val="fr-FR"/>
        </w:rPr>
        <w:t>disante</w:t>
      </w:r>
      <w:proofErr w:type="spellEnd"/>
      <w:r>
        <w:rPr>
          <w:color w:val="000000"/>
          <w:lang w:val="fr-FR"/>
        </w:rPr>
        <w:t xml:space="preserve"> / offre du candidat x 40)</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Le critère organisation et gestion de la maintenance préventive sera évalué sur la capacité du candidat à effectuer les maintenances préventives annuelles, ainsi que sur l'organisation du candidat relative au nombre de techniciens qualifiés disponibles, aux délais d'interventions proposés, ainsi qu'à l'existence ou non d'un service </w:t>
      </w:r>
      <w:proofErr w:type="spellStart"/>
      <w:r>
        <w:rPr>
          <w:color w:val="000000"/>
          <w:lang w:val="fr-FR"/>
        </w:rPr>
        <w:t>après vente</w:t>
      </w:r>
      <w:proofErr w:type="spellEnd"/>
      <w:r>
        <w:rPr>
          <w:color w:val="000000"/>
          <w:lang w:val="fr-FR"/>
        </w:rPr>
        <w:t xml:space="preserve"> ; ces éléments devront apparaître dans le mémoire technique du candidat.</w:t>
      </w:r>
    </w:p>
    <w:p>
      <w:pPr>
        <w:pStyle w:val="ParagrapheIndent2"/>
        <w:spacing w:line="232" w:lineRule="exact"/>
        <w:jc w:val="both"/>
        <w:rPr>
          <w:color w:val="000000"/>
          <w:lang w:val="fr-FR"/>
        </w:rPr>
      </w:pPr>
    </w:p>
    <w:p>
      <w:pPr>
        <w:pStyle w:val="ParagrapheIndent2"/>
        <w:spacing w:line="232" w:lineRule="exact"/>
        <w:jc w:val="both"/>
        <w:rPr>
          <w:color w:val="000000"/>
          <w:lang w:val="fr-FR"/>
        </w:rPr>
        <w:sectPr>
          <w:footerReference w:type="default" r:id="rId25"/>
          <w:pgSz w:w="11900" w:h="16840"/>
          <w:pgMar w:top="580" w:right="1140" w:bottom="580" w:left="1140" w:header="580" w:footer="580" w:gutter="0"/>
          <w:cols w:space="708"/>
        </w:sectPr>
      </w:pPr>
      <w:r>
        <w:rPr>
          <w:color w:val="000000"/>
          <w:lang w:val="fr-FR"/>
        </w:rPr>
        <w:t>Au niveau de l'évaluation des performances en matière de protection de l'environnement ; cette dernière évaluera les actions en faveur de l'environnement du candidat, l'obtention de labels ou certifications et l'optimisation des déplacements des techniciens.</w:t>
      </w:r>
      <w:r>
        <w:rPr>
          <w:color w:val="000000"/>
          <w:lang w:val="fr-FR"/>
        </w:rPr>
        <w:cr/>
      </w:r>
    </w:p>
    <w:p>
      <w:pPr>
        <w:pStyle w:val="ParagrapheIndent2"/>
        <w:spacing w:line="232" w:lineRule="exact"/>
        <w:jc w:val="both"/>
        <w:rPr>
          <w:color w:val="000000"/>
          <w:lang w:val="fr-FR"/>
        </w:rPr>
      </w:pPr>
      <w:r>
        <w:rPr>
          <w:color w:val="000000"/>
          <w:lang w:val="fr-FR"/>
        </w:rPr>
        <w:lastRenderedPageBreak/>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pPr>
        <w:pStyle w:val="Titre2"/>
        <w:ind w:left="280"/>
        <w:jc w:val="both"/>
        <w:rPr>
          <w:rFonts w:ascii="Trebuchet MS" w:eastAsia="Trebuchet MS" w:hAnsi="Trebuchet MS" w:cs="Trebuchet MS"/>
          <w:i w:val="0"/>
          <w:color w:val="000000"/>
          <w:sz w:val="24"/>
          <w:lang w:val="fr-FR"/>
        </w:rPr>
      </w:pPr>
      <w:bookmarkStart w:id="46" w:name="ArtL2_RC-2-A9.4"/>
      <w:bookmarkStart w:id="47" w:name="_Toc256000023"/>
      <w:bookmarkEnd w:id="46"/>
      <w:r>
        <w:rPr>
          <w:rFonts w:ascii="Trebuchet MS" w:eastAsia="Trebuchet MS" w:hAnsi="Trebuchet MS" w:cs="Trebuchet MS"/>
          <w:i w:val="0"/>
          <w:color w:val="000000"/>
          <w:sz w:val="24"/>
          <w:lang w:val="fr-FR"/>
        </w:rPr>
        <w:t>7.3 - Suite à donner à la consultation</w:t>
      </w:r>
      <w:bookmarkEnd w:id="47"/>
    </w:p>
    <w:p>
      <w:pPr>
        <w:pStyle w:val="ParagrapheIndent2"/>
        <w:spacing w:after="240"/>
        <w:jc w:val="both"/>
        <w:rPr>
          <w:color w:val="000000"/>
          <w:lang w:val="fr-FR"/>
        </w:rPr>
      </w:pPr>
      <w:r>
        <w:rPr>
          <w:color w:val="000000"/>
          <w:lang w:val="fr-FR"/>
        </w:rPr>
        <w:t>La présente consultation ne fera l'objet d'aucune négociation.</w:t>
      </w:r>
    </w:p>
    <w:p>
      <w:pPr>
        <w:pStyle w:val="ParagrapheIndent2"/>
        <w:spacing w:after="240" w:line="232" w:lineRule="exact"/>
        <w:jc w:val="both"/>
        <w:rPr>
          <w:color w:val="000000"/>
          <w:lang w:val="fr-FR"/>
        </w:rPr>
      </w:pPr>
      <w:r>
        <w:rPr>
          <w:color w:val="000000"/>
          <w:lang w:val="fr-FR"/>
        </w:rPr>
        <w:t xml:space="preserve">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 A cet effet, les opérateurs économiques sont invités à utiliser l’espace de stockage numérique disponible sur le profil acheteur </w:t>
      </w:r>
      <w:hyperlink r:id="rId26" w:history="1">
        <w:r>
          <w:rPr>
            <w:color w:val="000000"/>
            <w:lang w:val="fr-FR"/>
          </w:rPr>
          <w:t>https://www.marches-publics.gouv.fr</w:t>
        </w:r>
      </w:hyperlink>
      <w:r>
        <w:rPr>
          <w:color w:val="000000"/>
          <w:lang w:val="fr-FR"/>
        </w:rPr>
        <w:t xml:space="preserve"> afin d’y déposer les pièces.</w:t>
      </w:r>
    </w:p>
    <w:p>
      <w:pPr>
        <w:pStyle w:val="Titre1"/>
        <w:shd w:val="clear" w:color="2A7CBF" w:fill="2A7CBF"/>
        <w:rPr>
          <w:rFonts w:ascii="Trebuchet MS" w:eastAsia="Trebuchet MS" w:hAnsi="Trebuchet MS" w:cs="Trebuchet MS"/>
          <w:color w:val="FFFFFF"/>
          <w:sz w:val="28"/>
          <w:lang w:val="fr-FR"/>
        </w:rPr>
      </w:pPr>
      <w:bookmarkStart w:id="48" w:name="ArtL1_RC-2-A11"/>
      <w:bookmarkStart w:id="49" w:name="_Toc256000024"/>
      <w:bookmarkEnd w:id="48"/>
      <w:r>
        <w:rPr>
          <w:rFonts w:ascii="Trebuchet MS" w:eastAsia="Trebuchet MS" w:hAnsi="Trebuchet MS" w:cs="Trebuchet MS"/>
          <w:color w:val="FFFFFF"/>
          <w:sz w:val="28"/>
          <w:lang w:val="fr-FR"/>
        </w:rPr>
        <w:t>8 - Renseignements complémentaires</w:t>
      </w:r>
      <w:bookmarkEnd w:id="49"/>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50" w:name="ArtL2_RC-2-A11.1"/>
      <w:bookmarkStart w:id="51" w:name="_Toc256000025"/>
      <w:bookmarkEnd w:id="50"/>
      <w:r>
        <w:rPr>
          <w:rFonts w:ascii="Trebuchet MS" w:eastAsia="Trebuchet MS" w:hAnsi="Trebuchet MS" w:cs="Trebuchet MS"/>
          <w:i w:val="0"/>
          <w:color w:val="000000"/>
          <w:sz w:val="24"/>
          <w:lang w:val="fr-FR"/>
        </w:rPr>
        <w:t>8.1 - Adresses supplémentaires et points de contact</w:t>
      </w:r>
      <w:bookmarkEnd w:id="51"/>
    </w:p>
    <w:p>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pPr>
        <w:pStyle w:val="Titre2"/>
        <w:ind w:left="280"/>
        <w:jc w:val="both"/>
        <w:rPr>
          <w:rFonts w:ascii="Trebuchet MS" w:eastAsia="Trebuchet MS" w:hAnsi="Trebuchet MS" w:cs="Trebuchet MS"/>
          <w:i w:val="0"/>
          <w:color w:val="000000"/>
          <w:sz w:val="24"/>
          <w:lang w:val="fr-FR"/>
        </w:rPr>
      </w:pPr>
      <w:bookmarkStart w:id="52" w:name="ArtL2_RC-2-A11.2"/>
      <w:bookmarkStart w:id="53" w:name="_Toc256000026"/>
      <w:bookmarkEnd w:id="52"/>
      <w:r>
        <w:rPr>
          <w:rFonts w:ascii="Trebuchet MS" w:eastAsia="Trebuchet MS" w:hAnsi="Trebuchet MS" w:cs="Trebuchet MS"/>
          <w:i w:val="0"/>
          <w:color w:val="000000"/>
          <w:sz w:val="24"/>
          <w:lang w:val="fr-FR"/>
        </w:rPr>
        <w:t>8.2 - Procédures de recours</w:t>
      </w:r>
      <w:bookmarkEnd w:id="53"/>
    </w:p>
    <w:p>
      <w:pPr>
        <w:pStyle w:val="ParagrapheIndent2"/>
        <w:spacing w:line="232" w:lineRule="exact"/>
        <w:jc w:val="both"/>
        <w:rPr>
          <w:color w:val="000000"/>
          <w:lang w:val="fr-FR"/>
        </w:rPr>
      </w:pPr>
      <w:r>
        <w:rPr>
          <w:color w:val="000000"/>
          <w:lang w:val="fr-FR"/>
        </w:rPr>
        <w:t>Le tribunal territorialement compétent est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after="240"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http://besancon.tribunal-administratif.fr/</w:t>
      </w:r>
    </w:p>
    <w:p>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line="232" w:lineRule="exact"/>
        <w:jc w:val="both"/>
        <w:rPr>
          <w:color w:val="000000"/>
          <w:lang w:val="fr-FR"/>
        </w:rPr>
        <w:sectPr>
          <w:footerReference w:type="default" r:id="rId27"/>
          <w:pgSz w:w="11900" w:h="16840"/>
          <w:pgMar w:top="820" w:right="1140" w:bottom="580" w:left="1140" w:header="820" w:footer="580" w:gutter="0"/>
          <w:cols w:space="708"/>
        </w:sectPr>
      </w:pPr>
      <w:r>
        <w:rPr>
          <w:color w:val="000000"/>
          <w:lang w:val="fr-FR"/>
        </w:rPr>
        <w:t xml:space="preserve">Adresse </w:t>
      </w:r>
      <w:proofErr w:type="gramStart"/>
      <w:r>
        <w:rPr>
          <w:color w:val="000000"/>
          <w:lang w:val="fr-FR"/>
        </w:rPr>
        <w:t>internet(</w:t>
      </w:r>
      <w:proofErr w:type="gramEnd"/>
      <w:r>
        <w:rPr>
          <w:color w:val="000000"/>
          <w:lang w:val="fr-FR"/>
        </w:rPr>
        <w:t>U.R.L) : http://besancon.tribunal-administratif.fr/</w:t>
      </w:r>
      <w:r>
        <w:rPr>
          <w:color w:val="000000"/>
          <w:lang w:val="fr-FR"/>
        </w:rPr>
        <w:cr/>
      </w:r>
    </w:p>
    <w:p>
      <w:pPr>
        <w:pStyle w:val="ParagrapheIndent2"/>
        <w:spacing w:line="232" w:lineRule="exact"/>
        <w:jc w:val="both"/>
        <w:rPr>
          <w:color w:val="000000"/>
          <w:lang w:val="fr-FR"/>
        </w:rPr>
      </w:pPr>
      <w:r>
        <w:rPr>
          <w:color w:val="000000"/>
          <w:lang w:val="fr-FR"/>
        </w:rPr>
        <w:lastRenderedPageBreak/>
        <w:t>En cas de difficultés survenant lors de la procédure de passation, l'organe chargé de jouer le rôle de médiateur est :</w:t>
      </w:r>
    </w:p>
    <w:p>
      <w:pPr>
        <w:pStyle w:val="ParagrapheIndent2"/>
        <w:spacing w:line="232" w:lineRule="exact"/>
        <w:jc w:val="both"/>
        <w:rPr>
          <w:color w:val="000000"/>
          <w:lang w:val="fr-FR"/>
        </w:rPr>
      </w:pPr>
      <w:r>
        <w:rPr>
          <w:color w:val="000000"/>
          <w:lang w:val="fr-FR"/>
        </w:rPr>
        <w:t xml:space="preserve">Comité consultatif interrégional de règlement amiable des différends ou litiges relatifs aux marchés publics de </w:t>
      </w:r>
      <w:proofErr w:type="spellStart"/>
      <w:r>
        <w:rPr>
          <w:color w:val="000000"/>
          <w:lang w:val="fr-FR"/>
        </w:rPr>
        <w:t>Nançy</w:t>
      </w:r>
      <w:proofErr w:type="spellEnd"/>
    </w:p>
    <w:p>
      <w:pPr>
        <w:pStyle w:val="ParagrapheIndent2"/>
        <w:spacing w:line="232" w:lineRule="exact"/>
        <w:jc w:val="both"/>
        <w:rPr>
          <w:color w:val="000000"/>
          <w:lang w:val="fr-FR"/>
        </w:rPr>
      </w:pPr>
      <w:r>
        <w:rPr>
          <w:color w:val="000000"/>
          <w:lang w:val="fr-FR"/>
        </w:rPr>
        <w:t xml:space="preserve">1 rue Préfet Claude </w:t>
      </w:r>
      <w:proofErr w:type="spellStart"/>
      <w:r>
        <w:rPr>
          <w:color w:val="000000"/>
          <w:lang w:val="fr-FR"/>
        </w:rPr>
        <w:t>Erignac</w:t>
      </w:r>
      <w:proofErr w:type="spellEnd"/>
    </w:p>
    <w:p>
      <w:pPr>
        <w:pStyle w:val="ParagrapheIndent2"/>
        <w:spacing w:line="232" w:lineRule="exact"/>
        <w:jc w:val="both"/>
        <w:rPr>
          <w:color w:val="000000"/>
          <w:lang w:val="fr-FR"/>
        </w:rPr>
      </w:pPr>
      <w:r>
        <w:rPr>
          <w:color w:val="000000"/>
          <w:lang w:val="fr-FR"/>
        </w:rPr>
        <w:t xml:space="preserve">54038 </w:t>
      </w:r>
      <w:proofErr w:type="spellStart"/>
      <w:r>
        <w:rPr>
          <w:color w:val="000000"/>
          <w:lang w:val="fr-FR"/>
        </w:rPr>
        <w:t>Nançy</w:t>
      </w:r>
      <w:proofErr w:type="spellEnd"/>
    </w:p>
    <w:sectPr>
      <w:footerReference w:type="default" r:id="rId28"/>
      <w:pgSz w:w="11900" w:h="16840"/>
      <w:pgMar w:top="820" w:right="1140" w:bottom="580" w:left="1140" w:header="82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A987D7-DE38-4937-B4C0-BE9F6CB5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paragraph" w:styleId="Titre3">
    <w:name w:val="heading 3"/>
    <w:basedOn w:val="Normal"/>
    <w:next w:val="Normal"/>
    <w:qFormat/>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www.marches-publics.gouv.fr" TargetMode="Externa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5.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3007</Words>
  <Characters>18561</Characters>
  <Application>Microsoft Office Word</Application>
  <DocSecurity>0</DocSecurity>
  <Lines>154</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SAUQUET</dc:creator>
  <cp:lastModifiedBy>Julie SAUQUET</cp:lastModifiedBy>
  <cp:revision>3</cp:revision>
  <dcterms:created xsi:type="dcterms:W3CDTF">2025-07-08T11:12:00Z</dcterms:created>
  <dcterms:modified xsi:type="dcterms:W3CDTF">2025-07-15T12:04:00Z</dcterms:modified>
</cp:coreProperties>
</file>